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06725" w14:textId="727472B4" w:rsidR="00EC34CB" w:rsidRPr="005A5862" w:rsidRDefault="00EC34CB" w:rsidP="00EC34C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</w:t>
      </w:r>
      <w:r>
        <w:rPr>
          <w:bCs/>
          <w:noProof w:val="0"/>
          <w:sz w:val="24"/>
          <w:szCs w:val="24"/>
        </w:rPr>
        <w:t>32</w:t>
      </w:r>
      <w:r w:rsidRPr="005A5862">
        <w:rPr>
          <w:bCs/>
          <w:noProof w:val="0"/>
          <w:sz w:val="24"/>
          <w:szCs w:val="24"/>
        </w:rPr>
        <w:tab/>
        <w:t>R2-2</w:t>
      </w:r>
      <w:r>
        <w:rPr>
          <w:bCs/>
          <w:noProof w:val="0"/>
          <w:sz w:val="24"/>
          <w:szCs w:val="24"/>
        </w:rPr>
        <w:t>5</w:t>
      </w:r>
      <w:r w:rsidR="00222D29">
        <w:rPr>
          <w:bCs/>
          <w:noProof w:val="0"/>
          <w:sz w:val="24"/>
          <w:szCs w:val="24"/>
        </w:rPr>
        <w:t>08290</w:t>
      </w:r>
    </w:p>
    <w:p w14:paraId="3041C890" w14:textId="3B2FF403" w:rsidR="00EC34CB" w:rsidRPr="005A5862" w:rsidRDefault="00844F57" w:rsidP="00EC34CB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4F4048">
        <w:rPr>
          <w:sz w:val="24"/>
        </w:rPr>
        <w:t>Dallas, USA, 17 – 21 November 2025</w:t>
      </w:r>
      <w:r w:rsidR="00EC34CB">
        <w:rPr>
          <w:sz w:val="24"/>
        </w:rPr>
        <w:tab/>
      </w:r>
      <w:r w:rsidR="00EC34CB" w:rsidRPr="005A5862">
        <w:rPr>
          <w:sz w:val="24"/>
        </w:rPr>
        <w:tab/>
      </w:r>
    </w:p>
    <w:p w14:paraId="66B81926" w14:textId="77777777" w:rsidR="00EC34CB" w:rsidRDefault="00EC34CB" w:rsidP="00EC34CB">
      <w:pPr>
        <w:pStyle w:val="Header"/>
        <w:rPr>
          <w:bCs/>
          <w:noProof w:val="0"/>
          <w:sz w:val="24"/>
        </w:rPr>
      </w:pPr>
    </w:p>
    <w:p w14:paraId="3FA9A2AB" w14:textId="0C96E9F4" w:rsidR="00EC34CB" w:rsidRPr="00B266B0" w:rsidRDefault="00EC34CB" w:rsidP="00EC34C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95324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395324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395324">
        <w:rPr>
          <w:rFonts w:cs="Arial"/>
          <w:b/>
          <w:bCs/>
          <w:sz w:val="24"/>
          <w:lang w:eastAsia="ja-JP"/>
        </w:rPr>
        <w:t>2</w:t>
      </w:r>
    </w:p>
    <w:p w14:paraId="69D2481F" w14:textId="6E0A7133" w:rsidR="00EC34CB" w:rsidRPr="00B266B0" w:rsidRDefault="00EC34CB" w:rsidP="00EC34C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395324">
        <w:rPr>
          <w:rFonts w:ascii="Arial" w:hAnsi="Arial" w:cs="Arial"/>
          <w:b/>
          <w:bCs/>
          <w:sz w:val="24"/>
        </w:rPr>
        <w:t>, Nokia Shanghai Bell</w:t>
      </w:r>
    </w:p>
    <w:p w14:paraId="4325AA79" w14:textId="6A8DB26E" w:rsidR="00EC34CB" w:rsidRDefault="00EC34CB" w:rsidP="00EC34C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20EF2">
        <w:rPr>
          <w:rFonts w:ascii="Arial" w:hAnsi="Arial" w:cs="Arial"/>
          <w:b/>
          <w:bCs/>
          <w:sz w:val="24"/>
        </w:rPr>
        <w:t>Remaining issues on MBS</w:t>
      </w:r>
    </w:p>
    <w:p w14:paraId="1709BC4D" w14:textId="24F94CF1" w:rsidR="00EC34CB" w:rsidRPr="00B266B0" w:rsidRDefault="00EC34CB" w:rsidP="00EC34C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E7EF6" w:rsidRPr="00C834FC">
        <w:rPr>
          <w:rFonts w:ascii="Arial" w:hAnsi="Arial" w:cs="Arial"/>
          <w:b/>
          <w:bCs/>
          <w:sz w:val="24"/>
        </w:rPr>
        <w:t>NR_NTN_Ph3-Core</w:t>
      </w:r>
      <w:r w:rsidR="001E7EF6" w:rsidRPr="00C834FC" w:rsidDel="00C834FC">
        <w:rPr>
          <w:rFonts w:ascii="Arial" w:hAnsi="Arial" w:cs="Arial"/>
          <w:b/>
          <w:bCs/>
          <w:sz w:val="24"/>
        </w:rPr>
        <w:t xml:space="preserve"> </w:t>
      </w:r>
      <w:r w:rsidR="001E7EF6">
        <w:rPr>
          <w:rFonts w:ascii="Arial" w:hAnsi="Arial" w:cs="Arial"/>
          <w:b/>
          <w:bCs/>
          <w:sz w:val="24"/>
        </w:rPr>
        <w:t>– Release 19</w:t>
      </w:r>
    </w:p>
    <w:p w14:paraId="6B898F5E" w14:textId="77777777" w:rsidR="00EC34CB" w:rsidRPr="00B266B0" w:rsidRDefault="00EC34CB" w:rsidP="00EC34C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74DE83C" w14:textId="77777777" w:rsidR="00EC34CB" w:rsidRPr="006E13D1" w:rsidRDefault="00EC34CB" w:rsidP="00EC34CB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59762BD" w14:textId="7DCCF716" w:rsidR="00EC34CB" w:rsidRDefault="00DB0F26" w:rsidP="00EC34CB">
      <w:r>
        <w:t xml:space="preserve">In </w:t>
      </w:r>
      <w:r w:rsidR="00636436">
        <w:t>RAN</w:t>
      </w:r>
      <w:r w:rsidR="005504F3">
        <w:t>2#131</w:t>
      </w:r>
      <w:r w:rsidR="00DD488A">
        <w:t>bis</w:t>
      </w:r>
      <w:r>
        <w:t xml:space="preserve"> the following </w:t>
      </w:r>
      <w:r w:rsidR="00CC26E1">
        <w:t>issues were not yet resolved</w:t>
      </w:r>
      <w:r w:rsidR="00222D29">
        <w:t xml:space="preserve"> for MBS, but are discussed here</w:t>
      </w:r>
      <w:r w:rsidR="00CC26E1">
        <w:t>:</w:t>
      </w:r>
    </w:p>
    <w:p w14:paraId="1837C68B" w14:textId="29D17210" w:rsidR="00AB67A8" w:rsidRDefault="00AB67A8" w:rsidP="00AB67A8">
      <w:pPr>
        <w:pStyle w:val="ListParagraph"/>
        <w:numPr>
          <w:ilvl w:val="0"/>
          <w:numId w:val="20"/>
        </w:numPr>
      </w:pPr>
      <w:hyperlink r:id="rId13" w:history="1">
        <w:r>
          <w:rPr>
            <w:rStyle w:val="Hyperlink"/>
          </w:rPr>
          <w:t>R2-2506868</w:t>
        </w:r>
      </w:hyperlink>
    </w:p>
    <w:p w14:paraId="7057DDC8" w14:textId="586EC679" w:rsidR="00CC26E1" w:rsidRDefault="00CC26E1" w:rsidP="00EC34CB">
      <w:r w:rsidRPr="00CC26E1">
        <w:rPr>
          <w:noProof/>
        </w:rPr>
        <w:drawing>
          <wp:inline distT="0" distB="0" distL="0" distR="0" wp14:anchorId="2CC0E740" wp14:editId="7CFFBDEF">
            <wp:extent cx="6122035" cy="4136390"/>
            <wp:effectExtent l="0" t="0" r="0" b="0"/>
            <wp:docPr id="1623457474" name="Picture 1" descr="A close-up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457474" name="Picture 1" descr="A close-up of a document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13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7ED447" w14:textId="36AC2898" w:rsidR="0096708A" w:rsidRDefault="00AB67A8" w:rsidP="00AB67A8">
      <w:pPr>
        <w:pStyle w:val="ListParagraph"/>
        <w:numPr>
          <w:ilvl w:val="0"/>
          <w:numId w:val="20"/>
        </w:numPr>
      </w:pPr>
      <w:hyperlink r:id="rId15" w:history="1">
        <w:r>
          <w:rPr>
            <w:rStyle w:val="Hyperlink"/>
          </w:rPr>
          <w:t>R2-2507634</w:t>
        </w:r>
      </w:hyperlink>
    </w:p>
    <w:p w14:paraId="262269D5" w14:textId="5501717B" w:rsidR="0096708A" w:rsidRDefault="0096708A" w:rsidP="00EC34CB">
      <w:r w:rsidRPr="0096708A">
        <w:rPr>
          <w:noProof/>
        </w:rPr>
        <w:drawing>
          <wp:inline distT="0" distB="0" distL="0" distR="0" wp14:anchorId="336B5D77" wp14:editId="26ACC4BE">
            <wp:extent cx="6122035" cy="1298575"/>
            <wp:effectExtent l="19050" t="19050" r="12065" b="15875"/>
            <wp:docPr id="1757060057" name="Picture 1" descr="A white paper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7060057" name="Picture 1" descr="A white paper with black text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2985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BB3AAA0" w14:textId="2EF5A1E9" w:rsidR="00EC34CB" w:rsidRPr="006E13D1" w:rsidRDefault="00EC34CB" w:rsidP="00EC34CB">
      <w:pPr>
        <w:pStyle w:val="Heading1"/>
      </w:pPr>
      <w:r w:rsidRPr="006E13D1">
        <w:lastRenderedPageBreak/>
        <w:t>2</w:t>
      </w:r>
      <w:r w:rsidRPr="006E13D1">
        <w:tab/>
      </w:r>
      <w:r w:rsidR="0082755E">
        <w:t>Discussion</w:t>
      </w:r>
    </w:p>
    <w:p w14:paraId="7D97A7A4" w14:textId="02D246BA" w:rsidR="00AB67A8" w:rsidRDefault="00AB67A8" w:rsidP="00EC34CB">
      <w:pPr>
        <w:pStyle w:val="Heading2"/>
      </w:pPr>
      <w:r>
        <w:t>2</w:t>
      </w:r>
      <w:r w:rsidRPr="006E13D1">
        <w:t>.1</w:t>
      </w:r>
      <w:r w:rsidRPr="006E13D1">
        <w:tab/>
      </w:r>
      <w:r w:rsidR="001F073F">
        <w:t xml:space="preserve">C003 </w:t>
      </w:r>
      <w:r w:rsidR="00673089">
        <w:t>Service area information in SIB and USD</w:t>
      </w:r>
    </w:p>
    <w:p w14:paraId="202E88AD" w14:textId="691FED2A" w:rsidR="00293426" w:rsidRDefault="00293426" w:rsidP="00292517">
      <w:pPr>
        <w:rPr>
          <w:lang w:val="en-US"/>
        </w:rPr>
      </w:pPr>
      <w:r>
        <w:t>C003 address the issue that i</w:t>
      </w:r>
      <w:r w:rsidRPr="00293426">
        <w:t xml:space="preserve">n some cases, the service area provided via </w:t>
      </w:r>
      <w:r w:rsidR="00CC1197">
        <w:t>SIB or USD</w:t>
      </w:r>
      <w:r w:rsidRPr="00293426">
        <w:t xml:space="preserve"> may not be completely aligned, e.g., due to the different formats</w:t>
      </w:r>
      <w:r w:rsidR="00CC1197">
        <w:t xml:space="preserve"> with one being a circle and the other a polygon,</w:t>
      </w:r>
      <w:r w:rsidRPr="00293426">
        <w:t xml:space="preserve"> or not timely updat</w:t>
      </w:r>
      <w:r w:rsidR="00CC1197">
        <w:t>e frequency of the MCCH</w:t>
      </w:r>
      <w:r w:rsidRPr="00293426">
        <w:t>.</w:t>
      </w:r>
      <w:r w:rsidR="00CC1197">
        <w:t xml:space="preserve"> </w:t>
      </w:r>
      <w:r w:rsidR="00F430D2">
        <w:t xml:space="preserve">C003 propose to </w:t>
      </w:r>
      <w:r w:rsidR="00F430D2" w:rsidRPr="00F430D2">
        <w:t>define how UE determines the service area if the Target Service Area in the USD or the ISA in SIB27 are not totally aligned</w:t>
      </w:r>
    </w:p>
    <w:p w14:paraId="35FABC19" w14:textId="472A97D9" w:rsidR="00AB67A8" w:rsidRPr="00F40F36" w:rsidRDefault="001C5C25" w:rsidP="00292517">
      <w:pPr>
        <w:rPr>
          <w:lang w:val="en-US"/>
        </w:rPr>
      </w:pPr>
      <w:r>
        <w:rPr>
          <w:lang w:val="en-US"/>
        </w:rPr>
        <w:t>We agree that there is a valid</w:t>
      </w:r>
      <w:r w:rsidR="00292517" w:rsidRPr="00F40F36">
        <w:rPr>
          <w:lang w:val="en-US"/>
        </w:rPr>
        <w:t xml:space="preserve"> case </w:t>
      </w:r>
      <w:r>
        <w:rPr>
          <w:lang w:val="en-US"/>
        </w:rPr>
        <w:t>where</w:t>
      </w:r>
      <w:r w:rsidR="00292517" w:rsidRPr="00F40F36">
        <w:rPr>
          <w:lang w:val="en-US"/>
        </w:rPr>
        <w:t xml:space="preserve"> the t</w:t>
      </w:r>
      <w:r w:rsidR="001661E7" w:rsidRPr="00F40F36">
        <w:rPr>
          <w:lang w:val="en-US"/>
        </w:rPr>
        <w:t xml:space="preserve">arget service area in the USD and the ISA in SIB27 are not completely aligned, due to </w:t>
      </w:r>
      <w:r w:rsidR="008432D6" w:rsidRPr="00F40F36">
        <w:rPr>
          <w:lang w:val="en-US"/>
        </w:rPr>
        <w:t xml:space="preserve">different formats of the area definition. As the ISA is </w:t>
      </w:r>
      <w:r w:rsidR="002F5368" w:rsidRPr="00F40F36">
        <w:rPr>
          <w:lang w:val="en-US"/>
        </w:rPr>
        <w:t>SIB27</w:t>
      </w:r>
      <w:r w:rsidR="00EE332E" w:rsidRPr="00F40F36">
        <w:rPr>
          <w:lang w:val="en-US"/>
        </w:rPr>
        <w:t xml:space="preserve"> </w:t>
      </w:r>
      <w:r w:rsidR="00FD038C" w:rsidRPr="00F40F36">
        <w:rPr>
          <w:lang w:val="en-US"/>
        </w:rPr>
        <w:t>is the area that is referred to in the context of</w:t>
      </w:r>
      <w:r w:rsidR="00961506" w:rsidRPr="00F40F36">
        <w:rPr>
          <w:lang w:val="en-US"/>
        </w:rPr>
        <w:t xml:space="preserve"> MCCH</w:t>
      </w:r>
      <w:r w:rsidR="00FD038C" w:rsidRPr="00F40F36">
        <w:rPr>
          <w:lang w:val="en-US"/>
        </w:rPr>
        <w:t xml:space="preserve">, it makes sense to </w:t>
      </w:r>
      <w:r w:rsidR="00AB0DCD" w:rsidRPr="00F40F36">
        <w:rPr>
          <w:lang w:val="en-US"/>
        </w:rPr>
        <w:t>prefer the ISA information in SIB27</w:t>
      </w:r>
      <w:r w:rsidR="00BC0F31">
        <w:rPr>
          <w:lang w:val="en-US"/>
        </w:rPr>
        <w:t xml:space="preserve">. </w:t>
      </w:r>
      <w:proofErr w:type="gramStart"/>
      <w:r w:rsidR="00BC0F31">
        <w:rPr>
          <w:lang w:val="en-US"/>
        </w:rPr>
        <w:t>H</w:t>
      </w:r>
      <w:r>
        <w:rPr>
          <w:lang w:val="en-US"/>
        </w:rPr>
        <w:t>owever</w:t>
      </w:r>
      <w:proofErr w:type="gramEnd"/>
      <w:r>
        <w:rPr>
          <w:lang w:val="en-US"/>
        </w:rPr>
        <w:t xml:space="preserve"> </w:t>
      </w:r>
      <w:r w:rsidR="00BC0F31">
        <w:rPr>
          <w:lang w:val="en-US"/>
        </w:rPr>
        <w:t xml:space="preserve">if this is </w:t>
      </w:r>
      <w:proofErr w:type="gramStart"/>
      <w:r w:rsidR="00BC0F31">
        <w:rPr>
          <w:lang w:val="en-US"/>
        </w:rPr>
        <w:t>an</w:t>
      </w:r>
      <w:proofErr w:type="gramEnd"/>
      <w:r w:rsidR="00BC0F31">
        <w:rPr>
          <w:lang w:val="en-US"/>
        </w:rPr>
        <w:t xml:space="preserve"> </w:t>
      </w:r>
      <w:r w:rsidR="006279E7">
        <w:rPr>
          <w:lang w:val="en-US"/>
        </w:rPr>
        <w:t>high impact</w:t>
      </w:r>
      <w:r w:rsidR="00BC0F31">
        <w:rPr>
          <w:lang w:val="en-US"/>
        </w:rPr>
        <w:t xml:space="preserve"> change, we believe that the</w:t>
      </w:r>
      <w:r w:rsidR="00CA7EA4">
        <w:rPr>
          <w:lang w:val="en-US"/>
        </w:rPr>
        <w:t xml:space="preserve"> UE </w:t>
      </w:r>
      <w:r w:rsidR="006279E7">
        <w:rPr>
          <w:lang w:val="en-US"/>
        </w:rPr>
        <w:t>behavior</w:t>
      </w:r>
      <w:r w:rsidR="00CA7EA4">
        <w:rPr>
          <w:lang w:val="en-US"/>
        </w:rPr>
        <w:t xml:space="preserve"> should be specified, rather than in a note</w:t>
      </w:r>
      <w:r w:rsidR="006279E7">
        <w:rPr>
          <w:lang w:val="en-US"/>
        </w:rPr>
        <w:t>.</w:t>
      </w:r>
    </w:p>
    <w:p w14:paraId="2E6D23D0" w14:textId="60E0BEE0" w:rsidR="00AB0DCD" w:rsidRDefault="00AB0DCD" w:rsidP="00673089">
      <w:pPr>
        <w:rPr>
          <w:lang w:val="en-US"/>
        </w:rPr>
      </w:pPr>
      <w:r w:rsidRPr="00F40F36">
        <w:rPr>
          <w:b/>
          <w:bCs/>
          <w:lang w:val="en-US"/>
        </w:rPr>
        <w:t>Proposal 1:</w:t>
      </w:r>
      <w:r w:rsidR="006279E7">
        <w:rPr>
          <w:b/>
          <w:bCs/>
          <w:lang w:val="en-US"/>
        </w:rPr>
        <w:t xml:space="preserve"> </w:t>
      </w:r>
      <w:r w:rsidR="001F073F">
        <w:rPr>
          <w:b/>
          <w:bCs/>
          <w:lang w:val="en-US"/>
        </w:rPr>
        <w:t>[C003]</w:t>
      </w:r>
      <w:r w:rsidRPr="001F073F">
        <w:rPr>
          <w:lang w:val="en-US"/>
        </w:rPr>
        <w:t xml:space="preserve"> </w:t>
      </w:r>
      <w:r w:rsidR="00636436" w:rsidRPr="001F073F">
        <w:rPr>
          <w:lang w:val="en-US"/>
        </w:rPr>
        <w:t>Prioritize the ISA information in SIB27</w:t>
      </w:r>
    </w:p>
    <w:p w14:paraId="317B8D6B" w14:textId="78DD0375" w:rsidR="006279E7" w:rsidRPr="006279E7" w:rsidRDefault="006279E7" w:rsidP="00673089">
      <w:pPr>
        <w:rPr>
          <w:b/>
          <w:bCs/>
          <w:lang w:val="en-US"/>
        </w:rPr>
      </w:pPr>
      <w:r w:rsidRPr="006279E7">
        <w:rPr>
          <w:b/>
          <w:bCs/>
          <w:lang w:val="en-US"/>
        </w:rPr>
        <w:t xml:space="preserve">Proposal 2: </w:t>
      </w:r>
      <w:r>
        <w:rPr>
          <w:b/>
          <w:bCs/>
          <w:lang w:val="en-US"/>
        </w:rPr>
        <w:t xml:space="preserve">[C003] </w:t>
      </w:r>
      <w:r w:rsidR="00D447F5" w:rsidRPr="00D447F5">
        <w:rPr>
          <w:lang w:val="en-US"/>
        </w:rPr>
        <w:t>The UE</w:t>
      </w:r>
      <w:r w:rsidR="00D447F5">
        <w:rPr>
          <w:lang w:val="en-US"/>
        </w:rPr>
        <w:t xml:space="preserve"> behavior upon mismatch between SIB and USD should be added in procedural text.</w:t>
      </w:r>
    </w:p>
    <w:p w14:paraId="66A59E47" w14:textId="68FD3C9F" w:rsidR="00EC34CB" w:rsidRPr="00F40F36" w:rsidRDefault="00EC34CB" w:rsidP="00EC34CB">
      <w:pPr>
        <w:pStyle w:val="Heading2"/>
        <w:rPr>
          <w:lang w:val="en-US"/>
        </w:rPr>
      </w:pPr>
      <w:r w:rsidRPr="00F40F36">
        <w:rPr>
          <w:lang w:val="en-US"/>
        </w:rPr>
        <w:t>2.</w:t>
      </w:r>
      <w:r w:rsidR="00636436" w:rsidRPr="00F40F36">
        <w:rPr>
          <w:lang w:val="en-US"/>
        </w:rPr>
        <w:t>2</w:t>
      </w:r>
      <w:r w:rsidRPr="00F40F36">
        <w:rPr>
          <w:lang w:val="en-US"/>
        </w:rPr>
        <w:tab/>
      </w:r>
      <w:r w:rsidR="00636436" w:rsidRPr="00F40F36">
        <w:rPr>
          <w:lang w:val="en-US"/>
        </w:rPr>
        <w:t>Service continuity for MBS</w:t>
      </w:r>
    </w:p>
    <w:p w14:paraId="147815C3" w14:textId="4AA183AD" w:rsidR="00636436" w:rsidRDefault="000F26A7" w:rsidP="00EC34CB">
      <w:pPr>
        <w:rPr>
          <w:lang w:val="en-US"/>
        </w:rPr>
      </w:pPr>
      <w:r>
        <w:rPr>
          <w:lang w:val="en-US"/>
        </w:rPr>
        <w:t>D</w:t>
      </w:r>
      <w:r w:rsidR="009F33E3" w:rsidRPr="00F40F36">
        <w:rPr>
          <w:lang w:val="en-US"/>
        </w:rPr>
        <w:t xml:space="preserve">ue to satellite mobility, </w:t>
      </w:r>
      <w:r>
        <w:rPr>
          <w:lang w:val="en-US"/>
        </w:rPr>
        <w:t xml:space="preserve">cells are </w:t>
      </w:r>
      <w:r w:rsidR="009F33E3" w:rsidRPr="00F40F36">
        <w:rPr>
          <w:lang w:val="en-US"/>
        </w:rPr>
        <w:t>frequent</w:t>
      </w:r>
      <w:r>
        <w:rPr>
          <w:lang w:val="en-US"/>
        </w:rPr>
        <w:t>ly</w:t>
      </w:r>
      <w:r w:rsidR="009F33E3" w:rsidRPr="00F40F36">
        <w:rPr>
          <w:lang w:val="en-US"/>
        </w:rPr>
        <w:t xml:space="preserve"> chang</w:t>
      </w:r>
      <w:r>
        <w:rPr>
          <w:lang w:val="en-US"/>
        </w:rPr>
        <w:t xml:space="preserve">ing, which is an inherent </w:t>
      </w:r>
      <w:r w:rsidR="00BB13A3">
        <w:rPr>
          <w:lang w:val="en-US"/>
        </w:rPr>
        <w:t xml:space="preserve">characteristic of </w:t>
      </w:r>
      <w:r w:rsidR="00EA779E">
        <w:rPr>
          <w:lang w:val="en-US"/>
        </w:rPr>
        <w:t>(non-GSO) NTN deployments</w:t>
      </w:r>
      <w:r w:rsidR="0055247C" w:rsidRPr="00F40F36">
        <w:rPr>
          <w:lang w:val="en-US"/>
        </w:rPr>
        <w:t xml:space="preserve">. If a broadcast service is provided via NTN, it </w:t>
      </w:r>
      <w:r w:rsidR="00EA779E" w:rsidRPr="00F40F36">
        <w:rPr>
          <w:lang w:val="en-US"/>
        </w:rPr>
        <w:t>is</w:t>
      </w:r>
      <w:r w:rsidR="0055247C" w:rsidRPr="00F40F36">
        <w:rPr>
          <w:lang w:val="en-US"/>
        </w:rPr>
        <w:t xml:space="preserve"> </w:t>
      </w:r>
      <w:r w:rsidR="00DF56EE" w:rsidRPr="00F40F36">
        <w:rPr>
          <w:lang w:val="en-US"/>
        </w:rPr>
        <w:t xml:space="preserve">reasonable to </w:t>
      </w:r>
      <w:r w:rsidR="00EA779E" w:rsidRPr="00F40F36">
        <w:rPr>
          <w:lang w:val="en-US"/>
        </w:rPr>
        <w:t>assume</w:t>
      </w:r>
      <w:r w:rsidR="00DF56EE" w:rsidRPr="00F40F36">
        <w:rPr>
          <w:lang w:val="en-US"/>
        </w:rPr>
        <w:t xml:space="preserve"> that the next satellite/cell replacing the current one will provide similar service </w:t>
      </w:r>
      <w:r w:rsidR="00396060" w:rsidRPr="00F40F36">
        <w:rPr>
          <w:lang w:val="en-US"/>
        </w:rPr>
        <w:t xml:space="preserve">covering the same area. </w:t>
      </w:r>
      <w:r w:rsidR="00F04C10" w:rsidRPr="00F40F36">
        <w:rPr>
          <w:lang w:val="en-US"/>
        </w:rPr>
        <w:t>Hence, a UE changing cell due to satellite mobility (</w:t>
      </w:r>
      <w:r w:rsidR="00791091">
        <w:rPr>
          <w:lang w:val="en-US"/>
        </w:rPr>
        <w:t xml:space="preserve">and </w:t>
      </w:r>
      <w:r w:rsidR="00F04C10" w:rsidRPr="00F40F36">
        <w:rPr>
          <w:lang w:val="en-US"/>
        </w:rPr>
        <w:t xml:space="preserve">not due to UE mobility) should be able to </w:t>
      </w:r>
      <w:r w:rsidR="00F40F36" w:rsidRPr="00F40F36">
        <w:rPr>
          <w:lang w:val="en-US"/>
        </w:rPr>
        <w:t>continue the same service.</w:t>
      </w:r>
    </w:p>
    <w:p w14:paraId="42503A07" w14:textId="2F1AD7A0" w:rsidR="005B70EC" w:rsidRPr="00791091" w:rsidRDefault="005B70EC" w:rsidP="00EC34CB">
      <w:pPr>
        <w:rPr>
          <w:b/>
          <w:bCs/>
          <w:lang w:val="en-US"/>
        </w:rPr>
      </w:pPr>
      <w:r w:rsidRPr="00791091">
        <w:rPr>
          <w:b/>
          <w:bCs/>
          <w:lang w:val="en-US"/>
        </w:rPr>
        <w:t xml:space="preserve">Observation 1: It can be assumed that a satellite cell replacing the previous one </w:t>
      </w:r>
      <w:r w:rsidR="00607EAF" w:rsidRPr="00791091">
        <w:rPr>
          <w:b/>
          <w:bCs/>
          <w:lang w:val="en-US"/>
        </w:rPr>
        <w:t xml:space="preserve">will provide </w:t>
      </w:r>
      <w:r w:rsidR="00080B5A">
        <w:rPr>
          <w:b/>
          <w:bCs/>
          <w:lang w:val="en-US"/>
        </w:rPr>
        <w:t>the same</w:t>
      </w:r>
      <w:r w:rsidR="00607EAF" w:rsidRPr="00791091">
        <w:rPr>
          <w:b/>
          <w:bCs/>
          <w:lang w:val="en-US"/>
        </w:rPr>
        <w:t xml:space="preserve"> service.</w:t>
      </w:r>
    </w:p>
    <w:p w14:paraId="7E3759B4" w14:textId="231F0A73" w:rsidR="00B15652" w:rsidRDefault="00F40F36" w:rsidP="00EC34CB">
      <w:pPr>
        <w:rPr>
          <w:lang w:val="en-US"/>
        </w:rPr>
      </w:pPr>
      <w:r w:rsidRPr="00F40F36">
        <w:rPr>
          <w:lang w:val="en-US"/>
        </w:rPr>
        <w:t xml:space="preserve">Under this assumption, </w:t>
      </w:r>
      <w:r w:rsidR="00BE385C">
        <w:rPr>
          <w:lang w:val="en-US"/>
        </w:rPr>
        <w:t>it would be very inefficient to update and re-</w:t>
      </w:r>
      <w:r w:rsidR="001E0318">
        <w:rPr>
          <w:lang w:val="en-US"/>
        </w:rPr>
        <w:t>acquire</w:t>
      </w:r>
      <w:r w:rsidR="00BE385C">
        <w:rPr>
          <w:lang w:val="en-US"/>
        </w:rPr>
        <w:t xml:space="preserve"> the same information upon every satellite switch. </w:t>
      </w:r>
      <w:r w:rsidR="00EC4726" w:rsidRPr="00F40F36">
        <w:rPr>
          <w:lang w:val="en-US"/>
        </w:rPr>
        <w:t xml:space="preserve">Therefore, it is </w:t>
      </w:r>
      <w:r w:rsidR="00F04C10" w:rsidRPr="00F40F36">
        <w:rPr>
          <w:lang w:val="en-US"/>
        </w:rPr>
        <w:t xml:space="preserve">reasonable to </w:t>
      </w:r>
      <w:r w:rsidR="009422BA">
        <w:rPr>
          <w:lang w:val="en-US"/>
        </w:rPr>
        <w:t xml:space="preserve">assume that </w:t>
      </w:r>
      <w:r w:rsidR="00791091">
        <w:rPr>
          <w:lang w:val="en-US"/>
        </w:rPr>
        <w:t xml:space="preserve">for mobility due to satellite movement, </w:t>
      </w:r>
      <w:r w:rsidR="009422BA">
        <w:rPr>
          <w:lang w:val="en-US"/>
        </w:rPr>
        <w:t>the MCCH content stays the same</w:t>
      </w:r>
      <w:r w:rsidR="00C940E0">
        <w:rPr>
          <w:lang w:val="en-US"/>
        </w:rPr>
        <w:t>.</w:t>
      </w:r>
      <w:r w:rsidR="00447A32">
        <w:rPr>
          <w:lang w:val="en-US"/>
        </w:rPr>
        <w:t xml:space="preserve"> </w:t>
      </w:r>
      <w:r w:rsidR="00F71650">
        <w:rPr>
          <w:lang w:val="en-US"/>
        </w:rPr>
        <w:t>This should be the baseline assumption</w:t>
      </w:r>
      <w:r w:rsidR="001E0318">
        <w:rPr>
          <w:lang w:val="en-US"/>
        </w:rPr>
        <w:t xml:space="preserve"> when deploying MBS from satellites</w:t>
      </w:r>
      <w:r w:rsidR="00F71650">
        <w:rPr>
          <w:lang w:val="en-US"/>
        </w:rPr>
        <w:t xml:space="preserve"> and thus there is </w:t>
      </w:r>
      <w:r w:rsidR="001E0318">
        <w:rPr>
          <w:lang w:val="en-US"/>
        </w:rPr>
        <w:t xml:space="preserve">also </w:t>
      </w:r>
      <w:r w:rsidR="00F71650">
        <w:rPr>
          <w:lang w:val="en-US"/>
        </w:rPr>
        <w:t>no need of notifying the UE</w:t>
      </w:r>
      <w:r w:rsidR="001E0318">
        <w:rPr>
          <w:lang w:val="en-US"/>
        </w:rPr>
        <w:t xml:space="preserve"> about this</w:t>
      </w:r>
      <w:r w:rsidR="00F71650">
        <w:rPr>
          <w:lang w:val="en-US"/>
        </w:rPr>
        <w:t>.</w:t>
      </w:r>
      <w:r w:rsidR="00B15652">
        <w:rPr>
          <w:lang w:val="en-US"/>
        </w:rPr>
        <w:t xml:space="preserve"> </w:t>
      </w:r>
    </w:p>
    <w:p w14:paraId="77B34B6D" w14:textId="1B5CF2A7" w:rsidR="00607EAF" w:rsidRPr="001E0318" w:rsidRDefault="00607EAF" w:rsidP="00EC34CB">
      <w:pPr>
        <w:rPr>
          <w:b/>
          <w:bCs/>
          <w:lang w:val="en-US"/>
        </w:rPr>
      </w:pPr>
      <w:r w:rsidRPr="001E0318">
        <w:rPr>
          <w:b/>
          <w:bCs/>
          <w:lang w:val="en-US"/>
        </w:rPr>
        <w:t xml:space="preserve">Proposal </w:t>
      </w:r>
      <w:r w:rsidR="00CC4128">
        <w:rPr>
          <w:b/>
          <w:bCs/>
          <w:lang w:val="en-US"/>
        </w:rPr>
        <w:t>3</w:t>
      </w:r>
      <w:r w:rsidRPr="001E0318">
        <w:rPr>
          <w:b/>
          <w:bCs/>
          <w:lang w:val="en-US"/>
        </w:rPr>
        <w:t xml:space="preserve">: </w:t>
      </w:r>
      <w:r w:rsidR="001B0A15">
        <w:rPr>
          <w:b/>
          <w:bCs/>
          <w:lang w:val="en-US"/>
        </w:rPr>
        <w:t>RAN2 baseline assumption is that t</w:t>
      </w:r>
      <w:r w:rsidR="00BB64EF" w:rsidRPr="001E0318">
        <w:rPr>
          <w:b/>
          <w:bCs/>
          <w:lang w:val="en-US"/>
        </w:rPr>
        <w:t xml:space="preserve">he </w:t>
      </w:r>
      <w:r w:rsidR="007F4E00" w:rsidRPr="001E0318">
        <w:rPr>
          <w:b/>
          <w:bCs/>
          <w:lang w:val="en-US"/>
        </w:rPr>
        <w:t xml:space="preserve">MTCH </w:t>
      </w:r>
      <w:r w:rsidR="00BB64EF" w:rsidRPr="001E0318">
        <w:rPr>
          <w:b/>
          <w:bCs/>
          <w:lang w:val="en-US"/>
        </w:rPr>
        <w:t xml:space="preserve">configuration </w:t>
      </w:r>
      <w:r w:rsidR="007F4E00" w:rsidRPr="001E0318">
        <w:rPr>
          <w:b/>
          <w:bCs/>
          <w:lang w:val="en-US"/>
        </w:rPr>
        <w:t>stay</w:t>
      </w:r>
      <w:r w:rsidR="001B0A15">
        <w:rPr>
          <w:b/>
          <w:bCs/>
          <w:lang w:val="en-US"/>
        </w:rPr>
        <w:t>s</w:t>
      </w:r>
      <w:r w:rsidR="007F4E00" w:rsidRPr="001E0318">
        <w:rPr>
          <w:b/>
          <w:bCs/>
          <w:lang w:val="en-US"/>
        </w:rPr>
        <w:t xml:space="preserve"> </w:t>
      </w:r>
      <w:r w:rsidR="00BB64EF" w:rsidRPr="001E0318">
        <w:rPr>
          <w:b/>
          <w:bCs/>
          <w:lang w:val="en-US"/>
        </w:rPr>
        <w:t xml:space="preserve">the same </w:t>
      </w:r>
      <w:r w:rsidR="002234CC" w:rsidRPr="001E0318">
        <w:rPr>
          <w:b/>
          <w:bCs/>
          <w:lang w:val="en-US"/>
        </w:rPr>
        <w:t>over a geographic area</w:t>
      </w:r>
      <w:r w:rsidR="00CC4128">
        <w:rPr>
          <w:b/>
          <w:bCs/>
          <w:lang w:val="en-US"/>
        </w:rPr>
        <w:t>.</w:t>
      </w:r>
    </w:p>
    <w:p w14:paraId="734D25A6" w14:textId="37C77F8D" w:rsidR="00B15652" w:rsidRDefault="00B15652" w:rsidP="00EC34CB">
      <w:pPr>
        <w:rPr>
          <w:lang w:val="en-US"/>
        </w:rPr>
      </w:pPr>
      <w:r>
        <w:rPr>
          <w:lang w:val="en-US"/>
        </w:rPr>
        <w:t xml:space="preserve">If this is the case, </w:t>
      </w:r>
      <w:r w:rsidR="00FE1F53">
        <w:rPr>
          <w:lang w:val="en-US"/>
        </w:rPr>
        <w:t>the UE would not re-</w:t>
      </w:r>
      <w:r w:rsidR="00D06C76">
        <w:rPr>
          <w:lang w:val="en-US"/>
        </w:rPr>
        <w:t xml:space="preserve">acquire MCCH upon cell change </w:t>
      </w:r>
      <w:r w:rsidR="00080B5A">
        <w:rPr>
          <w:lang w:val="en-US"/>
        </w:rPr>
        <w:t>due to satellite movement. So,</w:t>
      </w:r>
      <w:r w:rsidR="00D06C76">
        <w:rPr>
          <w:lang w:val="en-US"/>
        </w:rPr>
        <w:t xml:space="preserve"> </w:t>
      </w:r>
      <w:r>
        <w:rPr>
          <w:lang w:val="en-US"/>
        </w:rPr>
        <w:t xml:space="preserve">there is also no </w:t>
      </w:r>
      <w:r w:rsidR="00DB0F7C">
        <w:rPr>
          <w:lang w:val="en-US"/>
        </w:rPr>
        <w:t>benefit</w:t>
      </w:r>
      <w:r>
        <w:rPr>
          <w:lang w:val="en-US"/>
        </w:rPr>
        <w:t xml:space="preserve"> </w:t>
      </w:r>
      <w:r w:rsidR="00080B5A">
        <w:rPr>
          <w:lang w:val="en-US"/>
        </w:rPr>
        <w:t>add</w:t>
      </w:r>
      <w:r w:rsidR="002F5368">
        <w:rPr>
          <w:lang w:val="en-US"/>
        </w:rPr>
        <w:t>ing</w:t>
      </w:r>
      <w:r>
        <w:rPr>
          <w:lang w:val="en-US"/>
        </w:rPr>
        <w:t xml:space="preserve"> future </w:t>
      </w:r>
      <w:r w:rsidR="00080B5A">
        <w:rPr>
          <w:lang w:val="en-US"/>
        </w:rPr>
        <w:t>neighbor</w:t>
      </w:r>
      <w:r>
        <w:rPr>
          <w:lang w:val="en-US"/>
        </w:rPr>
        <w:t xml:space="preserve"> cell</w:t>
      </w:r>
      <w:r w:rsidR="004057AA">
        <w:rPr>
          <w:lang w:val="en-US"/>
        </w:rPr>
        <w:t xml:space="preserve"> information in the MCCH. </w:t>
      </w:r>
    </w:p>
    <w:p w14:paraId="12622B7F" w14:textId="3AC4A894" w:rsidR="00791091" w:rsidRPr="00CC4128" w:rsidRDefault="00FE1F53" w:rsidP="00CC4128">
      <w:pPr>
        <w:rPr>
          <w:b/>
          <w:bCs/>
          <w:lang w:val="en-US"/>
        </w:rPr>
      </w:pPr>
      <w:r w:rsidRPr="00080B5A">
        <w:rPr>
          <w:b/>
          <w:bCs/>
          <w:lang w:val="en-US"/>
        </w:rPr>
        <w:t xml:space="preserve">Proposal </w:t>
      </w:r>
      <w:r w:rsidR="00CC4128">
        <w:rPr>
          <w:b/>
          <w:bCs/>
          <w:lang w:val="en-US"/>
        </w:rPr>
        <w:t>4</w:t>
      </w:r>
      <w:r w:rsidRPr="00080B5A">
        <w:rPr>
          <w:b/>
          <w:bCs/>
          <w:lang w:val="en-US"/>
        </w:rPr>
        <w:t xml:space="preserve">: </w:t>
      </w:r>
      <w:r w:rsidR="00D06C76" w:rsidRPr="00080B5A">
        <w:rPr>
          <w:b/>
          <w:bCs/>
          <w:lang w:val="en-US"/>
        </w:rPr>
        <w:t xml:space="preserve">There is no need </w:t>
      </w:r>
      <w:r w:rsidR="00080B5A" w:rsidRPr="00080B5A">
        <w:rPr>
          <w:b/>
          <w:bCs/>
          <w:lang w:val="en-US"/>
        </w:rPr>
        <w:t>to</w:t>
      </w:r>
      <w:r w:rsidR="00D06C76" w:rsidRPr="00080B5A">
        <w:rPr>
          <w:b/>
          <w:bCs/>
          <w:lang w:val="en-US"/>
        </w:rPr>
        <w:t xml:space="preserve"> regularly </w:t>
      </w:r>
      <w:r w:rsidR="00080B5A" w:rsidRPr="00080B5A">
        <w:rPr>
          <w:b/>
          <w:bCs/>
          <w:lang w:val="en-US"/>
        </w:rPr>
        <w:t>add</w:t>
      </w:r>
      <w:r w:rsidR="00D06C76" w:rsidRPr="00080B5A">
        <w:rPr>
          <w:b/>
          <w:bCs/>
          <w:lang w:val="en-US"/>
        </w:rPr>
        <w:t xml:space="preserve"> future neighbor cell information.</w:t>
      </w:r>
    </w:p>
    <w:p w14:paraId="03FDBC26" w14:textId="77777777" w:rsidR="00EC34CB" w:rsidRPr="006E13D1" w:rsidRDefault="00EC34CB" w:rsidP="00EC34CB">
      <w:pPr>
        <w:pStyle w:val="Heading1"/>
      </w:pPr>
      <w:r>
        <w:t>3</w:t>
      </w:r>
      <w:r w:rsidRPr="006E13D1">
        <w:tab/>
      </w:r>
      <w:r>
        <w:t>Conclusion</w:t>
      </w:r>
    </w:p>
    <w:p w14:paraId="77403F28" w14:textId="77777777" w:rsidR="00222D29" w:rsidRDefault="00222D29" w:rsidP="00222D29">
      <w:pPr>
        <w:rPr>
          <w:lang w:val="en-US"/>
        </w:rPr>
      </w:pPr>
      <w:r w:rsidRPr="00F40F36">
        <w:rPr>
          <w:b/>
          <w:bCs/>
          <w:lang w:val="en-US"/>
        </w:rPr>
        <w:t>Proposal 1:</w:t>
      </w:r>
      <w:r>
        <w:rPr>
          <w:b/>
          <w:bCs/>
          <w:lang w:val="en-US"/>
        </w:rPr>
        <w:t xml:space="preserve"> [C003]</w:t>
      </w:r>
      <w:r w:rsidRPr="001F073F">
        <w:rPr>
          <w:lang w:val="en-US"/>
        </w:rPr>
        <w:t xml:space="preserve"> Prioritize the ISA information in SIB27</w:t>
      </w:r>
    </w:p>
    <w:p w14:paraId="76C3C808" w14:textId="77777777" w:rsidR="00222D29" w:rsidRPr="006279E7" w:rsidRDefault="00222D29" w:rsidP="00222D29">
      <w:pPr>
        <w:rPr>
          <w:b/>
          <w:bCs/>
          <w:lang w:val="en-US"/>
        </w:rPr>
      </w:pPr>
      <w:r w:rsidRPr="006279E7">
        <w:rPr>
          <w:b/>
          <w:bCs/>
          <w:lang w:val="en-US"/>
        </w:rPr>
        <w:t xml:space="preserve">Proposal 2: </w:t>
      </w:r>
      <w:r>
        <w:rPr>
          <w:b/>
          <w:bCs/>
          <w:lang w:val="en-US"/>
        </w:rPr>
        <w:t xml:space="preserve">[C003] </w:t>
      </w:r>
      <w:r w:rsidRPr="00D447F5">
        <w:rPr>
          <w:lang w:val="en-US"/>
        </w:rPr>
        <w:t>The UE</w:t>
      </w:r>
      <w:r>
        <w:rPr>
          <w:lang w:val="en-US"/>
        </w:rPr>
        <w:t xml:space="preserve"> behavior upon mismatch between SIB and USD should be added in procedural text.</w:t>
      </w:r>
    </w:p>
    <w:p w14:paraId="2312EE99" w14:textId="77777777" w:rsidR="00222D29" w:rsidRPr="00222D29" w:rsidRDefault="00222D29" w:rsidP="00222D29">
      <w:pPr>
        <w:rPr>
          <w:lang w:val="en-US"/>
        </w:rPr>
      </w:pPr>
      <w:r w:rsidRPr="00791091">
        <w:rPr>
          <w:b/>
          <w:bCs/>
          <w:lang w:val="en-US"/>
        </w:rPr>
        <w:t xml:space="preserve">Observation 1: </w:t>
      </w:r>
      <w:r w:rsidRPr="00222D29">
        <w:rPr>
          <w:lang w:val="en-US"/>
        </w:rPr>
        <w:t>It can be assumed that a satellite cell replacing the previous one will provide the same service.</w:t>
      </w:r>
    </w:p>
    <w:p w14:paraId="568AAB58" w14:textId="77777777" w:rsidR="00222D29" w:rsidRPr="00222D29" w:rsidRDefault="00222D29" w:rsidP="00222D29">
      <w:pPr>
        <w:rPr>
          <w:lang w:val="en-US"/>
        </w:rPr>
      </w:pPr>
      <w:r w:rsidRPr="001E0318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01E0318">
        <w:rPr>
          <w:b/>
          <w:bCs/>
          <w:lang w:val="en-US"/>
        </w:rPr>
        <w:t xml:space="preserve">: </w:t>
      </w:r>
      <w:r w:rsidRPr="00222D29">
        <w:rPr>
          <w:lang w:val="en-US"/>
        </w:rPr>
        <w:t>RAN2 baseline assumption is that the MTCH configuration stays the same over a geographic area.</w:t>
      </w:r>
    </w:p>
    <w:p w14:paraId="3B10481C" w14:textId="77777777" w:rsidR="00222D29" w:rsidRPr="00CC4128" w:rsidRDefault="00222D29" w:rsidP="00222D29">
      <w:pPr>
        <w:rPr>
          <w:b/>
          <w:bCs/>
          <w:lang w:val="en-US"/>
        </w:rPr>
      </w:pPr>
      <w:r w:rsidRPr="00080B5A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080B5A">
        <w:rPr>
          <w:b/>
          <w:bCs/>
          <w:lang w:val="en-US"/>
        </w:rPr>
        <w:t xml:space="preserve">: </w:t>
      </w:r>
      <w:r w:rsidRPr="00222D29">
        <w:rPr>
          <w:lang w:val="en-US"/>
        </w:rPr>
        <w:t>There is no need to regularly add future neighbor cell information.</w:t>
      </w:r>
    </w:p>
    <w:p w14:paraId="74B285D8" w14:textId="77777777" w:rsidR="00EC34CB" w:rsidRPr="006E13D1" w:rsidRDefault="00EC34CB" w:rsidP="00EC34CB"/>
    <w:p w14:paraId="7FC5B5E3" w14:textId="77777777" w:rsidR="00EC34CB" w:rsidRDefault="00EC34CB" w:rsidP="00EC34CB"/>
    <w:p w14:paraId="5EDFC06C" w14:textId="77777777" w:rsidR="00EC34CB" w:rsidRPr="00CD4C7B" w:rsidRDefault="00EC34CB" w:rsidP="00EC34CB"/>
    <w:p w14:paraId="48E5CBEC" w14:textId="77777777" w:rsidR="00EC34CB" w:rsidRPr="00A209D6" w:rsidRDefault="00EC34CB" w:rsidP="00EC34CB"/>
    <w:p w14:paraId="32CCEAA9" w14:textId="77777777" w:rsidR="00EC34CB" w:rsidRPr="005A5862" w:rsidRDefault="00EC34CB" w:rsidP="00EC34CB">
      <w:pPr>
        <w:pStyle w:val="CRCoverPage"/>
        <w:tabs>
          <w:tab w:val="left" w:pos="1985"/>
        </w:tabs>
      </w:pPr>
    </w:p>
    <w:p w14:paraId="43240D3F" w14:textId="77777777" w:rsidR="00FA439B" w:rsidRPr="00EC34CB" w:rsidRDefault="00FA439B" w:rsidP="00EC34CB"/>
    <w:sectPr w:rsidR="00FA439B" w:rsidRPr="00EC34C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E9247" w14:textId="77777777" w:rsidR="00BB3E92" w:rsidRDefault="00BB3E92">
      <w:r>
        <w:separator/>
      </w:r>
    </w:p>
  </w:endnote>
  <w:endnote w:type="continuationSeparator" w:id="0">
    <w:p w14:paraId="0166A60F" w14:textId="77777777" w:rsidR="00BB3E92" w:rsidRDefault="00BB3E92">
      <w:r>
        <w:continuationSeparator/>
      </w:r>
    </w:p>
  </w:endnote>
  <w:endnote w:type="continuationNotice" w:id="1">
    <w:p w14:paraId="61CACBA0" w14:textId="77777777" w:rsidR="00BB3E92" w:rsidRDefault="00BB3E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0FDA1" w14:textId="77777777" w:rsidR="00BB3E92" w:rsidRDefault="00BB3E92">
      <w:r>
        <w:separator/>
      </w:r>
    </w:p>
  </w:footnote>
  <w:footnote w:type="continuationSeparator" w:id="0">
    <w:p w14:paraId="070B3B54" w14:textId="77777777" w:rsidR="00BB3E92" w:rsidRDefault="00BB3E92">
      <w:r>
        <w:continuationSeparator/>
      </w:r>
    </w:p>
  </w:footnote>
  <w:footnote w:type="continuationNotice" w:id="1">
    <w:p w14:paraId="0B3F9DF5" w14:textId="77777777" w:rsidR="00BB3E92" w:rsidRDefault="00BB3E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915D63"/>
    <w:multiLevelType w:val="hybridMultilevel"/>
    <w:tmpl w:val="E6587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4"/>
  </w:num>
  <w:num w:numId="5" w16cid:durableId="630793192">
    <w:abstractNumId w:val="13"/>
  </w:num>
  <w:num w:numId="6" w16cid:durableId="1154301696">
    <w:abstractNumId w:val="15"/>
  </w:num>
  <w:num w:numId="7" w16cid:durableId="1489399165">
    <w:abstractNumId w:val="1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69960853">
    <w:abstractNumId w:val="17"/>
  </w:num>
  <w:num w:numId="19" w16cid:durableId="709962461">
    <w:abstractNumId w:val="17"/>
  </w:num>
  <w:num w:numId="20" w16cid:durableId="20431652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C40"/>
    <w:rsid w:val="0002507D"/>
    <w:rsid w:val="00033397"/>
    <w:rsid w:val="00040095"/>
    <w:rsid w:val="000418DD"/>
    <w:rsid w:val="00065268"/>
    <w:rsid w:val="0007262E"/>
    <w:rsid w:val="00073C9C"/>
    <w:rsid w:val="00075D18"/>
    <w:rsid w:val="00076412"/>
    <w:rsid w:val="00080512"/>
    <w:rsid w:val="00080B5A"/>
    <w:rsid w:val="00090468"/>
    <w:rsid w:val="00094568"/>
    <w:rsid w:val="000B7BCF"/>
    <w:rsid w:val="000C522B"/>
    <w:rsid w:val="000D14ED"/>
    <w:rsid w:val="000D3DFC"/>
    <w:rsid w:val="000D58AB"/>
    <w:rsid w:val="000F26A7"/>
    <w:rsid w:val="0011046F"/>
    <w:rsid w:val="001104DC"/>
    <w:rsid w:val="00112F1A"/>
    <w:rsid w:val="001169C1"/>
    <w:rsid w:val="00125351"/>
    <w:rsid w:val="0012610D"/>
    <w:rsid w:val="001423FB"/>
    <w:rsid w:val="00144FD3"/>
    <w:rsid w:val="00145075"/>
    <w:rsid w:val="0014781E"/>
    <w:rsid w:val="00163A64"/>
    <w:rsid w:val="001661E7"/>
    <w:rsid w:val="001716F4"/>
    <w:rsid w:val="001741A0"/>
    <w:rsid w:val="00175FA0"/>
    <w:rsid w:val="0018542A"/>
    <w:rsid w:val="00194CD0"/>
    <w:rsid w:val="001B0A15"/>
    <w:rsid w:val="001B49C9"/>
    <w:rsid w:val="001C23F4"/>
    <w:rsid w:val="001C4F79"/>
    <w:rsid w:val="001C5C25"/>
    <w:rsid w:val="001D06CB"/>
    <w:rsid w:val="001D42C2"/>
    <w:rsid w:val="001E0318"/>
    <w:rsid w:val="001E7E99"/>
    <w:rsid w:val="001E7EF6"/>
    <w:rsid w:val="001F073F"/>
    <w:rsid w:val="001F168B"/>
    <w:rsid w:val="001F7831"/>
    <w:rsid w:val="00204045"/>
    <w:rsid w:val="0020712B"/>
    <w:rsid w:val="0021716B"/>
    <w:rsid w:val="00217467"/>
    <w:rsid w:val="00220EF2"/>
    <w:rsid w:val="00222D29"/>
    <w:rsid w:val="002234CC"/>
    <w:rsid w:val="0022606D"/>
    <w:rsid w:val="00227C07"/>
    <w:rsid w:val="00231728"/>
    <w:rsid w:val="00244A05"/>
    <w:rsid w:val="00250404"/>
    <w:rsid w:val="00256B74"/>
    <w:rsid w:val="002610D8"/>
    <w:rsid w:val="00266D6C"/>
    <w:rsid w:val="002747EC"/>
    <w:rsid w:val="002852B7"/>
    <w:rsid w:val="002855BF"/>
    <w:rsid w:val="00290A7C"/>
    <w:rsid w:val="00292517"/>
    <w:rsid w:val="00293426"/>
    <w:rsid w:val="002B2988"/>
    <w:rsid w:val="002B7E7A"/>
    <w:rsid w:val="002F0D22"/>
    <w:rsid w:val="002F399E"/>
    <w:rsid w:val="002F5368"/>
    <w:rsid w:val="00311B17"/>
    <w:rsid w:val="00315FA8"/>
    <w:rsid w:val="003172DC"/>
    <w:rsid w:val="00325AE3"/>
    <w:rsid w:val="00326069"/>
    <w:rsid w:val="0035462D"/>
    <w:rsid w:val="0036459E"/>
    <w:rsid w:val="00364B41"/>
    <w:rsid w:val="00365EED"/>
    <w:rsid w:val="00372DF8"/>
    <w:rsid w:val="0038208C"/>
    <w:rsid w:val="00383096"/>
    <w:rsid w:val="0039346C"/>
    <w:rsid w:val="00395324"/>
    <w:rsid w:val="00396060"/>
    <w:rsid w:val="003A41EF"/>
    <w:rsid w:val="003A4ED8"/>
    <w:rsid w:val="003B40AD"/>
    <w:rsid w:val="003C3D6F"/>
    <w:rsid w:val="003C4E37"/>
    <w:rsid w:val="003D0FD0"/>
    <w:rsid w:val="003D6B42"/>
    <w:rsid w:val="003D7AAB"/>
    <w:rsid w:val="003E16BE"/>
    <w:rsid w:val="003F4E28"/>
    <w:rsid w:val="003F76B6"/>
    <w:rsid w:val="00400506"/>
    <w:rsid w:val="004006E8"/>
    <w:rsid w:val="00401855"/>
    <w:rsid w:val="004057AA"/>
    <w:rsid w:val="00424618"/>
    <w:rsid w:val="00426F1F"/>
    <w:rsid w:val="0043069E"/>
    <w:rsid w:val="0044697E"/>
    <w:rsid w:val="00446C3A"/>
    <w:rsid w:val="00447A32"/>
    <w:rsid w:val="00457837"/>
    <w:rsid w:val="00465587"/>
    <w:rsid w:val="00477455"/>
    <w:rsid w:val="00483950"/>
    <w:rsid w:val="00483C46"/>
    <w:rsid w:val="004A1F7B"/>
    <w:rsid w:val="004B6435"/>
    <w:rsid w:val="004C44D2"/>
    <w:rsid w:val="004D2B1C"/>
    <w:rsid w:val="004D3578"/>
    <w:rsid w:val="004D380D"/>
    <w:rsid w:val="004E213A"/>
    <w:rsid w:val="004E5344"/>
    <w:rsid w:val="004E7553"/>
    <w:rsid w:val="004F4540"/>
    <w:rsid w:val="004F73A7"/>
    <w:rsid w:val="00500AF8"/>
    <w:rsid w:val="00503171"/>
    <w:rsid w:val="00505C7F"/>
    <w:rsid w:val="00506C28"/>
    <w:rsid w:val="00534DA0"/>
    <w:rsid w:val="00537809"/>
    <w:rsid w:val="00541A65"/>
    <w:rsid w:val="0054235D"/>
    <w:rsid w:val="005432D9"/>
    <w:rsid w:val="00543E6C"/>
    <w:rsid w:val="005504F3"/>
    <w:rsid w:val="0055247C"/>
    <w:rsid w:val="0056238A"/>
    <w:rsid w:val="00565087"/>
    <w:rsid w:val="0056573F"/>
    <w:rsid w:val="00571279"/>
    <w:rsid w:val="00573250"/>
    <w:rsid w:val="00575FC5"/>
    <w:rsid w:val="005A0A04"/>
    <w:rsid w:val="005A13AB"/>
    <w:rsid w:val="005A49C6"/>
    <w:rsid w:val="005A5750"/>
    <w:rsid w:val="005A5862"/>
    <w:rsid w:val="005B5DB0"/>
    <w:rsid w:val="005B70EC"/>
    <w:rsid w:val="005C0E92"/>
    <w:rsid w:val="005C3803"/>
    <w:rsid w:val="005C766E"/>
    <w:rsid w:val="005C7CD5"/>
    <w:rsid w:val="00605E11"/>
    <w:rsid w:val="00607EAF"/>
    <w:rsid w:val="00611566"/>
    <w:rsid w:val="006279E7"/>
    <w:rsid w:val="006355E6"/>
    <w:rsid w:val="00636436"/>
    <w:rsid w:val="00646D99"/>
    <w:rsid w:val="00656910"/>
    <w:rsid w:val="006574C0"/>
    <w:rsid w:val="00670B9D"/>
    <w:rsid w:val="00673089"/>
    <w:rsid w:val="00696821"/>
    <w:rsid w:val="006C66D8"/>
    <w:rsid w:val="006D1E24"/>
    <w:rsid w:val="006D35DE"/>
    <w:rsid w:val="006E1057"/>
    <w:rsid w:val="006E1417"/>
    <w:rsid w:val="006F596D"/>
    <w:rsid w:val="006F6A2C"/>
    <w:rsid w:val="007069DC"/>
    <w:rsid w:val="00710201"/>
    <w:rsid w:val="00711E5E"/>
    <w:rsid w:val="0071711E"/>
    <w:rsid w:val="0072073A"/>
    <w:rsid w:val="00723B23"/>
    <w:rsid w:val="007342B5"/>
    <w:rsid w:val="00734A5B"/>
    <w:rsid w:val="00736CCD"/>
    <w:rsid w:val="00744E76"/>
    <w:rsid w:val="0074739B"/>
    <w:rsid w:val="00757D40"/>
    <w:rsid w:val="007662B5"/>
    <w:rsid w:val="007749F3"/>
    <w:rsid w:val="00781F0F"/>
    <w:rsid w:val="0078727C"/>
    <w:rsid w:val="0079049D"/>
    <w:rsid w:val="00791091"/>
    <w:rsid w:val="00791E6B"/>
    <w:rsid w:val="00793DC5"/>
    <w:rsid w:val="00796823"/>
    <w:rsid w:val="007A2E55"/>
    <w:rsid w:val="007A6D9F"/>
    <w:rsid w:val="007B18D8"/>
    <w:rsid w:val="007C095F"/>
    <w:rsid w:val="007C2DD0"/>
    <w:rsid w:val="007F2E08"/>
    <w:rsid w:val="007F4E00"/>
    <w:rsid w:val="008024FA"/>
    <w:rsid w:val="008028A4"/>
    <w:rsid w:val="00813245"/>
    <w:rsid w:val="0082755E"/>
    <w:rsid w:val="00840DE0"/>
    <w:rsid w:val="008432D6"/>
    <w:rsid w:val="00844F57"/>
    <w:rsid w:val="008473E8"/>
    <w:rsid w:val="00847CD0"/>
    <w:rsid w:val="00854E19"/>
    <w:rsid w:val="008607A8"/>
    <w:rsid w:val="0086354A"/>
    <w:rsid w:val="008768CA"/>
    <w:rsid w:val="00877EF9"/>
    <w:rsid w:val="00880559"/>
    <w:rsid w:val="008909BF"/>
    <w:rsid w:val="008A665C"/>
    <w:rsid w:val="008B5306"/>
    <w:rsid w:val="008B549E"/>
    <w:rsid w:val="008B54E8"/>
    <w:rsid w:val="008C21AC"/>
    <w:rsid w:val="008C2E2A"/>
    <w:rsid w:val="008C3057"/>
    <w:rsid w:val="008D0C8C"/>
    <w:rsid w:val="008D2E4D"/>
    <w:rsid w:val="008D6D57"/>
    <w:rsid w:val="008E6876"/>
    <w:rsid w:val="008F396F"/>
    <w:rsid w:val="008F3DCD"/>
    <w:rsid w:val="0090271F"/>
    <w:rsid w:val="00902DB9"/>
    <w:rsid w:val="0090466A"/>
    <w:rsid w:val="00905E5A"/>
    <w:rsid w:val="009076D6"/>
    <w:rsid w:val="00911F55"/>
    <w:rsid w:val="00920EC1"/>
    <w:rsid w:val="00923655"/>
    <w:rsid w:val="009248C6"/>
    <w:rsid w:val="009339CB"/>
    <w:rsid w:val="00936071"/>
    <w:rsid w:val="009376CD"/>
    <w:rsid w:val="00940212"/>
    <w:rsid w:val="009422BA"/>
    <w:rsid w:val="00942EC2"/>
    <w:rsid w:val="00944572"/>
    <w:rsid w:val="00961506"/>
    <w:rsid w:val="00961B32"/>
    <w:rsid w:val="00962509"/>
    <w:rsid w:val="009667CC"/>
    <w:rsid w:val="0096708A"/>
    <w:rsid w:val="00970DB3"/>
    <w:rsid w:val="00974BB0"/>
    <w:rsid w:val="00975BCD"/>
    <w:rsid w:val="009818A2"/>
    <w:rsid w:val="00981AD1"/>
    <w:rsid w:val="009861A5"/>
    <w:rsid w:val="009928A9"/>
    <w:rsid w:val="009A0AF3"/>
    <w:rsid w:val="009B07CD"/>
    <w:rsid w:val="009C19E9"/>
    <w:rsid w:val="009D4729"/>
    <w:rsid w:val="009D74A6"/>
    <w:rsid w:val="009E0E87"/>
    <w:rsid w:val="009F33E3"/>
    <w:rsid w:val="00A10F02"/>
    <w:rsid w:val="00A163DD"/>
    <w:rsid w:val="00A17176"/>
    <w:rsid w:val="00A204CA"/>
    <w:rsid w:val="00A209D6"/>
    <w:rsid w:val="00A22738"/>
    <w:rsid w:val="00A320DA"/>
    <w:rsid w:val="00A357AD"/>
    <w:rsid w:val="00A36F5F"/>
    <w:rsid w:val="00A430EC"/>
    <w:rsid w:val="00A53724"/>
    <w:rsid w:val="00A54B2B"/>
    <w:rsid w:val="00A703B6"/>
    <w:rsid w:val="00A723E5"/>
    <w:rsid w:val="00A773B2"/>
    <w:rsid w:val="00A82346"/>
    <w:rsid w:val="00A87564"/>
    <w:rsid w:val="00A9671C"/>
    <w:rsid w:val="00AA1553"/>
    <w:rsid w:val="00AB0DCD"/>
    <w:rsid w:val="00AB67A8"/>
    <w:rsid w:val="00AD7E7C"/>
    <w:rsid w:val="00AE0D97"/>
    <w:rsid w:val="00AF0257"/>
    <w:rsid w:val="00AF052C"/>
    <w:rsid w:val="00B05380"/>
    <w:rsid w:val="00B05962"/>
    <w:rsid w:val="00B1009C"/>
    <w:rsid w:val="00B15449"/>
    <w:rsid w:val="00B15652"/>
    <w:rsid w:val="00B16C2F"/>
    <w:rsid w:val="00B22738"/>
    <w:rsid w:val="00B27303"/>
    <w:rsid w:val="00B3042F"/>
    <w:rsid w:val="00B47FD1"/>
    <w:rsid w:val="00B516BB"/>
    <w:rsid w:val="00B5751D"/>
    <w:rsid w:val="00B669E9"/>
    <w:rsid w:val="00B7538C"/>
    <w:rsid w:val="00B84DB2"/>
    <w:rsid w:val="00B859D3"/>
    <w:rsid w:val="00BB13A3"/>
    <w:rsid w:val="00BB3E92"/>
    <w:rsid w:val="00BB5B47"/>
    <w:rsid w:val="00BB64EF"/>
    <w:rsid w:val="00BC0F31"/>
    <w:rsid w:val="00BC3555"/>
    <w:rsid w:val="00BD0DAA"/>
    <w:rsid w:val="00BE385C"/>
    <w:rsid w:val="00C07241"/>
    <w:rsid w:val="00C12997"/>
    <w:rsid w:val="00C12B51"/>
    <w:rsid w:val="00C24650"/>
    <w:rsid w:val="00C25465"/>
    <w:rsid w:val="00C31806"/>
    <w:rsid w:val="00C33079"/>
    <w:rsid w:val="00C55A12"/>
    <w:rsid w:val="00C579FB"/>
    <w:rsid w:val="00C6553E"/>
    <w:rsid w:val="00C83A13"/>
    <w:rsid w:val="00C86F10"/>
    <w:rsid w:val="00C9068C"/>
    <w:rsid w:val="00C92967"/>
    <w:rsid w:val="00C940E0"/>
    <w:rsid w:val="00CA3D0C"/>
    <w:rsid w:val="00CA654B"/>
    <w:rsid w:val="00CA7EA4"/>
    <w:rsid w:val="00CB183F"/>
    <w:rsid w:val="00CB72B8"/>
    <w:rsid w:val="00CC1197"/>
    <w:rsid w:val="00CC26E1"/>
    <w:rsid w:val="00CC4128"/>
    <w:rsid w:val="00CD0BA8"/>
    <w:rsid w:val="00CD4C7B"/>
    <w:rsid w:val="00CD58FE"/>
    <w:rsid w:val="00D06C76"/>
    <w:rsid w:val="00D33BE3"/>
    <w:rsid w:val="00D3792D"/>
    <w:rsid w:val="00D447F5"/>
    <w:rsid w:val="00D54820"/>
    <w:rsid w:val="00D55E47"/>
    <w:rsid w:val="00D61387"/>
    <w:rsid w:val="00D62E19"/>
    <w:rsid w:val="00D6524B"/>
    <w:rsid w:val="00D67CD1"/>
    <w:rsid w:val="00D738D6"/>
    <w:rsid w:val="00D80795"/>
    <w:rsid w:val="00D854BE"/>
    <w:rsid w:val="00D87E00"/>
    <w:rsid w:val="00D9134D"/>
    <w:rsid w:val="00D92E6D"/>
    <w:rsid w:val="00D96D11"/>
    <w:rsid w:val="00DA1415"/>
    <w:rsid w:val="00DA7A03"/>
    <w:rsid w:val="00DB0DB8"/>
    <w:rsid w:val="00DB0F26"/>
    <w:rsid w:val="00DB0F7C"/>
    <w:rsid w:val="00DB1818"/>
    <w:rsid w:val="00DC309B"/>
    <w:rsid w:val="00DC4DA2"/>
    <w:rsid w:val="00DC5261"/>
    <w:rsid w:val="00DD0049"/>
    <w:rsid w:val="00DD488A"/>
    <w:rsid w:val="00DD700E"/>
    <w:rsid w:val="00DE25D2"/>
    <w:rsid w:val="00DE44C1"/>
    <w:rsid w:val="00DF56EE"/>
    <w:rsid w:val="00DF7C20"/>
    <w:rsid w:val="00E038FB"/>
    <w:rsid w:val="00E31362"/>
    <w:rsid w:val="00E32055"/>
    <w:rsid w:val="00E42A2B"/>
    <w:rsid w:val="00E46C08"/>
    <w:rsid w:val="00E471CF"/>
    <w:rsid w:val="00E62835"/>
    <w:rsid w:val="00E6480E"/>
    <w:rsid w:val="00E77645"/>
    <w:rsid w:val="00E83697"/>
    <w:rsid w:val="00E859B6"/>
    <w:rsid w:val="00E862B3"/>
    <w:rsid w:val="00EA66C9"/>
    <w:rsid w:val="00EA779E"/>
    <w:rsid w:val="00EB5D32"/>
    <w:rsid w:val="00EC34CB"/>
    <w:rsid w:val="00EC4726"/>
    <w:rsid w:val="00EC4A25"/>
    <w:rsid w:val="00EC663E"/>
    <w:rsid w:val="00ED1C74"/>
    <w:rsid w:val="00EE332E"/>
    <w:rsid w:val="00EF612C"/>
    <w:rsid w:val="00F025A2"/>
    <w:rsid w:val="00F025CC"/>
    <w:rsid w:val="00F036E9"/>
    <w:rsid w:val="00F04C10"/>
    <w:rsid w:val="00F07388"/>
    <w:rsid w:val="00F2026E"/>
    <w:rsid w:val="00F2210A"/>
    <w:rsid w:val="00F30650"/>
    <w:rsid w:val="00F31372"/>
    <w:rsid w:val="00F37743"/>
    <w:rsid w:val="00F40C2F"/>
    <w:rsid w:val="00F40F36"/>
    <w:rsid w:val="00F42493"/>
    <w:rsid w:val="00F430D2"/>
    <w:rsid w:val="00F54A3D"/>
    <w:rsid w:val="00F54CB0"/>
    <w:rsid w:val="00F579CD"/>
    <w:rsid w:val="00F653B8"/>
    <w:rsid w:val="00F71650"/>
    <w:rsid w:val="00F71B89"/>
    <w:rsid w:val="00F7290D"/>
    <w:rsid w:val="00F7353C"/>
    <w:rsid w:val="00F7658D"/>
    <w:rsid w:val="00F76F8F"/>
    <w:rsid w:val="00F81093"/>
    <w:rsid w:val="00F87048"/>
    <w:rsid w:val="00F87257"/>
    <w:rsid w:val="00F941DF"/>
    <w:rsid w:val="00FA1266"/>
    <w:rsid w:val="00FA439B"/>
    <w:rsid w:val="00FB36FA"/>
    <w:rsid w:val="00FC1192"/>
    <w:rsid w:val="00FD038C"/>
    <w:rsid w:val="00FE106D"/>
    <w:rsid w:val="00FE1F53"/>
    <w:rsid w:val="00FE251B"/>
    <w:rsid w:val="00FE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67A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1711E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EC34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EC34CB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EC34CB"/>
    <w:pPr>
      <w:spacing w:after="120"/>
    </w:pPr>
    <w:rPr>
      <w:rFonts w:ascii="Arial" w:eastAsia="MS Mincho" w:hAnsi="Arial"/>
      <w:lang w:eastAsia="en-US"/>
    </w:rPr>
  </w:style>
  <w:style w:type="character" w:styleId="FollowedHyperlink">
    <w:name w:val="FollowedHyperlink"/>
    <w:basedOn w:val="DefaultParagraphFont"/>
    <w:rsid w:val="00DB0F26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B67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31bis/Docs/R2-2506868.zip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31bis/Docs/R2-2507634.zip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RBI5PAMIO524-1616901215-60647</_dlc_DocId>
    <_dlc_DocIdUrl xmlns="71c5aaf6-e6ce-465b-b873-5148d2a4c105">
      <Url>https://nokia.sharepoint.com/sites/gxp/_layouts/15/DocIdRedir.aspx?ID=RBI5PAMIO524-1616901215-60647</Url>
      <Description>RBI5PAMIO524-1616901215-60647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567C795-806A-4D09-9179-642D5DCE0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91C0E8FD-D691-0447-85AA-645E8E82E8B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540</Words>
  <Characters>2655</Characters>
  <Application>Microsoft Office Word</Application>
  <DocSecurity>0</DocSecurity>
  <Lines>52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(Jakob)</cp:lastModifiedBy>
  <cp:revision>271</cp:revision>
  <dcterms:created xsi:type="dcterms:W3CDTF">2016-08-12T13:53:00Z</dcterms:created>
  <dcterms:modified xsi:type="dcterms:W3CDTF">2025-11-06T20:29:00Z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13519583-3686-44d5-8406-fbf56185f429</vt:lpwstr>
  </property>
</Properties>
</file>